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D0590" w14:textId="77777777" w:rsidR="00F71B94" w:rsidRPr="00A85497" w:rsidRDefault="00F71B94">
      <w:pPr>
        <w:pStyle w:val="Title"/>
        <w:rPr>
          <w:b w:val="0"/>
          <w:sz w:val="20"/>
          <w:szCs w:val="20"/>
        </w:rPr>
      </w:pPr>
      <w:r w:rsidRPr="00A85497">
        <w:rPr>
          <w:b w:val="0"/>
          <w:sz w:val="20"/>
          <w:szCs w:val="20"/>
        </w:rPr>
        <w:t>Notice to Competitors</w:t>
      </w:r>
    </w:p>
    <w:p w14:paraId="584B5062" w14:textId="77777777" w:rsidR="00F71B94" w:rsidRPr="00A85497" w:rsidRDefault="00F71B94">
      <w:pPr>
        <w:pStyle w:val="Title"/>
        <w:rPr>
          <w:sz w:val="20"/>
          <w:szCs w:val="20"/>
        </w:rPr>
      </w:pPr>
    </w:p>
    <w:p w14:paraId="5C57AF2B" w14:textId="77777777" w:rsidR="00F71B94" w:rsidRPr="00A85497" w:rsidRDefault="006809BE">
      <w:pPr>
        <w:pStyle w:val="Title"/>
        <w:tabs>
          <w:tab w:val="center" w:pos="4320"/>
          <w:tab w:val="right" w:pos="8460"/>
        </w:tabs>
        <w:jc w:val="left"/>
        <w:rPr>
          <w:sz w:val="20"/>
          <w:szCs w:val="20"/>
        </w:rPr>
      </w:pPr>
      <w:r w:rsidRPr="00A85497">
        <w:rPr>
          <w:sz w:val="20"/>
          <w:szCs w:val="20"/>
        </w:rPr>
        <w:t>M</w:t>
      </w:r>
      <w:r w:rsidR="00A81907" w:rsidRPr="00A85497">
        <w:rPr>
          <w:sz w:val="20"/>
          <w:szCs w:val="20"/>
        </w:rPr>
        <w:t>GA Junior Girls’</w:t>
      </w:r>
      <w:r w:rsidR="00A81907" w:rsidRPr="00A85497">
        <w:rPr>
          <w:sz w:val="20"/>
          <w:szCs w:val="20"/>
        </w:rPr>
        <w:tab/>
        <w:t>July 1</w:t>
      </w:r>
      <w:r w:rsidR="00EE50B3" w:rsidRPr="00A85497">
        <w:rPr>
          <w:sz w:val="20"/>
          <w:szCs w:val="20"/>
        </w:rPr>
        <w:t>1-12</w:t>
      </w:r>
      <w:r w:rsidR="00A81907" w:rsidRPr="00A85497">
        <w:rPr>
          <w:sz w:val="20"/>
          <w:szCs w:val="20"/>
        </w:rPr>
        <w:t>, 202</w:t>
      </w:r>
      <w:r w:rsidR="00EE50B3" w:rsidRPr="00A85497">
        <w:rPr>
          <w:sz w:val="20"/>
          <w:szCs w:val="20"/>
        </w:rPr>
        <w:t>2</w:t>
      </w:r>
      <w:r w:rsidR="00A81907" w:rsidRPr="00A85497">
        <w:rPr>
          <w:sz w:val="20"/>
          <w:szCs w:val="20"/>
        </w:rPr>
        <w:tab/>
      </w:r>
      <w:r w:rsidR="00EE50B3" w:rsidRPr="00A85497">
        <w:rPr>
          <w:sz w:val="20"/>
          <w:szCs w:val="20"/>
        </w:rPr>
        <w:t>Fox Hollow GC</w:t>
      </w:r>
      <w:r w:rsidR="00F71B94" w:rsidRPr="00A85497">
        <w:rPr>
          <w:sz w:val="20"/>
          <w:szCs w:val="20"/>
        </w:rPr>
        <w:tab/>
      </w:r>
    </w:p>
    <w:p w14:paraId="2AE7F038" w14:textId="77777777" w:rsidR="00F71B94" w:rsidRPr="00A85497" w:rsidRDefault="00F71B94">
      <w:pPr>
        <w:rPr>
          <w:sz w:val="20"/>
          <w:szCs w:val="20"/>
        </w:rPr>
      </w:pPr>
    </w:p>
    <w:p w14:paraId="1EF767E4" w14:textId="77777777" w:rsidR="00F71B94" w:rsidRPr="00A85497" w:rsidRDefault="00F71B94">
      <w:pPr>
        <w:pStyle w:val="BodyText"/>
        <w:jc w:val="center"/>
        <w:rPr>
          <w:b w:val="0"/>
          <w:bCs w:val="0"/>
          <w:sz w:val="20"/>
          <w:szCs w:val="20"/>
        </w:rPr>
      </w:pPr>
      <w:r w:rsidRPr="00A85497">
        <w:rPr>
          <w:sz w:val="20"/>
          <w:szCs w:val="20"/>
        </w:rPr>
        <w:t>Play is govern</w:t>
      </w:r>
      <w:r w:rsidR="008F375E" w:rsidRPr="00A85497">
        <w:rPr>
          <w:sz w:val="20"/>
          <w:szCs w:val="20"/>
        </w:rPr>
        <w:t>ed by the USGA rules of golf, M</w:t>
      </w:r>
      <w:r w:rsidRPr="00A85497">
        <w:rPr>
          <w:sz w:val="20"/>
          <w:szCs w:val="20"/>
        </w:rPr>
        <w:t>GA local rules and conditions, and this notice</w:t>
      </w:r>
      <w:r w:rsidR="009962C7" w:rsidRPr="00A85497">
        <w:rPr>
          <w:sz w:val="20"/>
          <w:szCs w:val="20"/>
        </w:rPr>
        <w:t xml:space="preserve"> (ignore any rules on the club scorecard)</w:t>
      </w:r>
    </w:p>
    <w:p w14:paraId="14595D9D" w14:textId="77777777" w:rsidR="00F71B94" w:rsidRPr="00A85497" w:rsidRDefault="00F71B94">
      <w:pPr>
        <w:rPr>
          <w:sz w:val="20"/>
          <w:szCs w:val="20"/>
        </w:rPr>
      </w:pPr>
    </w:p>
    <w:p w14:paraId="436903F6" w14:textId="77777777" w:rsidR="00F71B94" w:rsidRPr="00A85497" w:rsidRDefault="00F71B94">
      <w:pPr>
        <w:rPr>
          <w:i/>
          <w:sz w:val="20"/>
          <w:szCs w:val="20"/>
        </w:rPr>
      </w:pPr>
    </w:p>
    <w:tbl>
      <w:tblPr>
        <w:tblW w:w="10800" w:type="dxa"/>
        <w:tblInd w:w="-972" w:type="dxa"/>
        <w:tblLook w:val="01E0" w:firstRow="1" w:lastRow="1" w:firstColumn="1" w:lastColumn="1" w:noHBand="0" w:noVBand="0"/>
      </w:tblPr>
      <w:tblGrid>
        <w:gridCol w:w="2340"/>
        <w:gridCol w:w="8460"/>
      </w:tblGrid>
      <w:tr w:rsidR="00F71B94" w:rsidRPr="00A85497" w14:paraId="4EBB8660" w14:textId="77777777">
        <w:tc>
          <w:tcPr>
            <w:tcW w:w="2340" w:type="dxa"/>
          </w:tcPr>
          <w:p w14:paraId="2EC9C97D" w14:textId="77777777" w:rsidR="00F71B94" w:rsidRPr="00A85497" w:rsidRDefault="00F71B94">
            <w:pPr>
              <w:rPr>
                <w:sz w:val="20"/>
                <w:szCs w:val="20"/>
              </w:rPr>
            </w:pPr>
            <w:r w:rsidRPr="00A85497">
              <w:rPr>
                <w:b/>
                <w:bCs/>
                <w:sz w:val="20"/>
                <w:szCs w:val="20"/>
              </w:rPr>
              <w:t>Tee markers</w:t>
            </w:r>
            <w:r w:rsidRPr="00A85497">
              <w:rPr>
                <w:sz w:val="20"/>
                <w:szCs w:val="20"/>
              </w:rPr>
              <w:t>:</w:t>
            </w:r>
          </w:p>
        </w:tc>
        <w:tc>
          <w:tcPr>
            <w:tcW w:w="8460" w:type="dxa"/>
          </w:tcPr>
          <w:p w14:paraId="0E438114" w14:textId="77777777" w:rsidR="00F71B94" w:rsidRPr="00A85497" w:rsidRDefault="00F71B94">
            <w:pPr>
              <w:rPr>
                <w:bCs/>
                <w:sz w:val="20"/>
                <w:szCs w:val="20"/>
              </w:rPr>
            </w:pPr>
            <w:r w:rsidRPr="00A85497">
              <w:rPr>
                <w:sz w:val="20"/>
                <w:szCs w:val="20"/>
              </w:rPr>
              <w:t xml:space="preserve">There are two </w:t>
            </w:r>
            <w:r w:rsidR="009115F2" w:rsidRPr="00A85497">
              <w:rPr>
                <w:sz w:val="20"/>
                <w:szCs w:val="20"/>
              </w:rPr>
              <w:t>sets of tees for this championship</w:t>
            </w:r>
            <w:r w:rsidRPr="00A85497">
              <w:rPr>
                <w:sz w:val="20"/>
                <w:szCs w:val="20"/>
              </w:rPr>
              <w:t>.</w:t>
            </w:r>
            <w:r w:rsidR="00723301" w:rsidRPr="00A85497">
              <w:rPr>
                <w:sz w:val="20"/>
                <w:szCs w:val="20"/>
              </w:rPr>
              <w:t xml:space="preserve"> </w:t>
            </w:r>
            <w:r w:rsidR="00EE50B3" w:rsidRPr="00A85497">
              <w:rPr>
                <w:sz w:val="20"/>
                <w:szCs w:val="20"/>
              </w:rPr>
              <w:t>P</w:t>
            </w:r>
            <w:r w:rsidR="00723301" w:rsidRPr="00A85497">
              <w:rPr>
                <w:sz w:val="20"/>
                <w:szCs w:val="20"/>
              </w:rPr>
              <w:t xml:space="preserve">layers in the Championship flight will play from the </w:t>
            </w:r>
            <w:r w:rsidR="00A81907" w:rsidRPr="00A85497">
              <w:rPr>
                <w:b/>
                <w:sz w:val="20"/>
                <w:szCs w:val="20"/>
              </w:rPr>
              <w:t>white</w:t>
            </w:r>
            <w:r w:rsidR="00723301" w:rsidRPr="00A85497">
              <w:rPr>
                <w:b/>
                <w:sz w:val="20"/>
                <w:szCs w:val="20"/>
              </w:rPr>
              <w:t xml:space="preserve"> </w:t>
            </w:r>
            <w:r w:rsidR="00723301" w:rsidRPr="00A85497">
              <w:rPr>
                <w:sz w:val="20"/>
                <w:szCs w:val="20"/>
              </w:rPr>
              <w:t xml:space="preserve">MGA tee markers and players in the flights will play from the </w:t>
            </w:r>
            <w:r w:rsidR="00314B7A" w:rsidRPr="00A85497">
              <w:rPr>
                <w:b/>
                <w:sz w:val="20"/>
                <w:szCs w:val="20"/>
              </w:rPr>
              <w:t>red</w:t>
            </w:r>
            <w:r w:rsidR="00723301" w:rsidRPr="00A85497">
              <w:rPr>
                <w:sz w:val="20"/>
                <w:szCs w:val="20"/>
              </w:rPr>
              <w:t xml:space="preserve"> MGA tee markers.</w:t>
            </w:r>
          </w:p>
        </w:tc>
      </w:tr>
      <w:tr w:rsidR="00F71B94" w:rsidRPr="00A85497" w14:paraId="2D7A50F7" w14:textId="77777777">
        <w:tc>
          <w:tcPr>
            <w:tcW w:w="2340" w:type="dxa"/>
          </w:tcPr>
          <w:p w14:paraId="0B1EEDDD" w14:textId="77777777" w:rsidR="00F71B94" w:rsidRPr="00A85497" w:rsidRDefault="00F71B94">
            <w:pPr>
              <w:rPr>
                <w:bCs/>
                <w:sz w:val="20"/>
                <w:szCs w:val="20"/>
              </w:rPr>
            </w:pPr>
          </w:p>
        </w:tc>
        <w:tc>
          <w:tcPr>
            <w:tcW w:w="8460" w:type="dxa"/>
          </w:tcPr>
          <w:p w14:paraId="3C97FAB9" w14:textId="77777777" w:rsidR="00F71B94" w:rsidRPr="00A85497" w:rsidRDefault="00F71B94">
            <w:pPr>
              <w:rPr>
                <w:bCs/>
                <w:sz w:val="20"/>
                <w:szCs w:val="20"/>
              </w:rPr>
            </w:pPr>
          </w:p>
        </w:tc>
      </w:tr>
      <w:tr w:rsidR="00F71B94" w:rsidRPr="00A85497" w14:paraId="3D829E7E" w14:textId="77777777">
        <w:tc>
          <w:tcPr>
            <w:tcW w:w="2340" w:type="dxa"/>
          </w:tcPr>
          <w:p w14:paraId="4880F1B1" w14:textId="77777777" w:rsidR="00F71B94" w:rsidRPr="00A85497" w:rsidRDefault="00F71B94">
            <w:pPr>
              <w:rPr>
                <w:b/>
                <w:bCs/>
                <w:sz w:val="20"/>
                <w:szCs w:val="20"/>
              </w:rPr>
            </w:pPr>
            <w:r w:rsidRPr="00A85497">
              <w:rPr>
                <w:b/>
                <w:bCs/>
                <w:sz w:val="20"/>
                <w:szCs w:val="20"/>
              </w:rPr>
              <w:t>Yardage Markers:</w:t>
            </w:r>
          </w:p>
        </w:tc>
        <w:tc>
          <w:tcPr>
            <w:tcW w:w="8460" w:type="dxa"/>
          </w:tcPr>
          <w:p w14:paraId="15C4E49A" w14:textId="77777777" w:rsidR="00723301" w:rsidRPr="00A85497" w:rsidRDefault="00A81907">
            <w:pPr>
              <w:rPr>
                <w:sz w:val="20"/>
                <w:szCs w:val="20"/>
              </w:rPr>
            </w:pPr>
            <w:r w:rsidRPr="00A85497">
              <w:rPr>
                <w:sz w:val="20"/>
                <w:szCs w:val="20"/>
              </w:rPr>
              <w:t xml:space="preserve">Discs in center of fairway at 100 yards (red), 150 yards (white) and 200 yards (blue) from the middle of the green. </w:t>
            </w:r>
            <w:r w:rsidR="00EE50B3" w:rsidRPr="00A85497">
              <w:rPr>
                <w:sz w:val="20"/>
                <w:szCs w:val="20"/>
              </w:rPr>
              <w:t>Some</w:t>
            </w:r>
            <w:r w:rsidR="00723301" w:rsidRPr="00A85497">
              <w:rPr>
                <w:sz w:val="20"/>
                <w:szCs w:val="20"/>
              </w:rPr>
              <w:t xml:space="preserve"> sprinkler heads are marke</w:t>
            </w:r>
            <w:r w:rsidR="00EE50B3" w:rsidRPr="00A85497">
              <w:rPr>
                <w:sz w:val="20"/>
                <w:szCs w:val="20"/>
              </w:rPr>
              <w:t>d</w:t>
            </w:r>
            <w:r w:rsidR="00723301" w:rsidRPr="00A85497">
              <w:rPr>
                <w:sz w:val="20"/>
                <w:szCs w:val="20"/>
              </w:rPr>
              <w:t>.</w:t>
            </w:r>
          </w:p>
        </w:tc>
      </w:tr>
      <w:tr w:rsidR="00F71B94" w:rsidRPr="00A85497" w14:paraId="44637D06" w14:textId="77777777">
        <w:tc>
          <w:tcPr>
            <w:tcW w:w="2340" w:type="dxa"/>
          </w:tcPr>
          <w:p w14:paraId="57072A9A" w14:textId="77777777" w:rsidR="00F71B94" w:rsidRPr="00A85497" w:rsidRDefault="00F71B94">
            <w:pPr>
              <w:rPr>
                <w:sz w:val="20"/>
                <w:szCs w:val="20"/>
              </w:rPr>
            </w:pPr>
          </w:p>
        </w:tc>
        <w:tc>
          <w:tcPr>
            <w:tcW w:w="8460" w:type="dxa"/>
          </w:tcPr>
          <w:p w14:paraId="48FA4630" w14:textId="77777777" w:rsidR="00F71B94" w:rsidRPr="00A85497" w:rsidRDefault="00F71B94">
            <w:pPr>
              <w:rPr>
                <w:sz w:val="20"/>
                <w:szCs w:val="20"/>
              </w:rPr>
            </w:pPr>
          </w:p>
        </w:tc>
      </w:tr>
      <w:tr w:rsidR="00F71B94" w:rsidRPr="00A85497" w14:paraId="514ABC20" w14:textId="77777777">
        <w:tc>
          <w:tcPr>
            <w:tcW w:w="2340" w:type="dxa"/>
          </w:tcPr>
          <w:p w14:paraId="37C02400" w14:textId="77777777" w:rsidR="00F71B94" w:rsidRPr="00A85497" w:rsidRDefault="00F71B94">
            <w:pPr>
              <w:rPr>
                <w:b/>
                <w:bCs/>
                <w:sz w:val="20"/>
                <w:szCs w:val="20"/>
              </w:rPr>
            </w:pPr>
            <w:r w:rsidRPr="00A85497">
              <w:rPr>
                <w:b/>
                <w:bCs/>
                <w:sz w:val="20"/>
                <w:szCs w:val="20"/>
              </w:rPr>
              <w:t>Hole Locations:</w:t>
            </w:r>
          </w:p>
        </w:tc>
        <w:tc>
          <w:tcPr>
            <w:tcW w:w="8460" w:type="dxa"/>
          </w:tcPr>
          <w:p w14:paraId="6131DF27" w14:textId="77777777" w:rsidR="00723301" w:rsidRPr="00A85497" w:rsidRDefault="00EE50B3">
            <w:pPr>
              <w:rPr>
                <w:sz w:val="20"/>
                <w:szCs w:val="20"/>
              </w:rPr>
            </w:pPr>
            <w:r w:rsidRPr="00A85497">
              <w:rPr>
                <w:sz w:val="20"/>
                <w:szCs w:val="20"/>
              </w:rPr>
              <w:t>See Hole Location Sheet</w:t>
            </w:r>
          </w:p>
        </w:tc>
      </w:tr>
      <w:tr w:rsidR="00F71B94" w:rsidRPr="00A85497" w14:paraId="4C0417E7" w14:textId="77777777">
        <w:tc>
          <w:tcPr>
            <w:tcW w:w="2340" w:type="dxa"/>
          </w:tcPr>
          <w:p w14:paraId="3B1FF31D" w14:textId="77777777" w:rsidR="00F71B94" w:rsidRPr="00A85497" w:rsidRDefault="00F71B94">
            <w:pPr>
              <w:rPr>
                <w:sz w:val="20"/>
                <w:szCs w:val="20"/>
              </w:rPr>
            </w:pPr>
          </w:p>
        </w:tc>
        <w:tc>
          <w:tcPr>
            <w:tcW w:w="8460" w:type="dxa"/>
          </w:tcPr>
          <w:p w14:paraId="53BE710E" w14:textId="77777777" w:rsidR="00F71B94" w:rsidRPr="00A85497" w:rsidRDefault="00F71B94">
            <w:pPr>
              <w:rPr>
                <w:sz w:val="20"/>
                <w:szCs w:val="20"/>
              </w:rPr>
            </w:pPr>
          </w:p>
        </w:tc>
      </w:tr>
      <w:tr w:rsidR="00F71B94" w:rsidRPr="00A85497" w14:paraId="40BDD044" w14:textId="77777777">
        <w:tc>
          <w:tcPr>
            <w:tcW w:w="2340" w:type="dxa"/>
          </w:tcPr>
          <w:p w14:paraId="5415CF62" w14:textId="77777777" w:rsidR="00F71B94" w:rsidRPr="00A85497" w:rsidRDefault="00F71B94">
            <w:pPr>
              <w:rPr>
                <w:b/>
                <w:bCs/>
                <w:sz w:val="20"/>
                <w:szCs w:val="20"/>
              </w:rPr>
            </w:pPr>
            <w:r w:rsidRPr="00A85497">
              <w:rPr>
                <w:b/>
                <w:bCs/>
                <w:sz w:val="20"/>
                <w:szCs w:val="20"/>
              </w:rPr>
              <w:t>Out of Bounds:</w:t>
            </w:r>
          </w:p>
        </w:tc>
        <w:tc>
          <w:tcPr>
            <w:tcW w:w="8460" w:type="dxa"/>
          </w:tcPr>
          <w:p w14:paraId="63C1D3F7" w14:textId="77777777" w:rsidR="00F71B94" w:rsidRPr="00A85497" w:rsidRDefault="00D07187">
            <w:pPr>
              <w:rPr>
                <w:sz w:val="20"/>
                <w:szCs w:val="20"/>
              </w:rPr>
            </w:pPr>
            <w:r w:rsidRPr="00A85497">
              <w:rPr>
                <w:sz w:val="20"/>
                <w:szCs w:val="20"/>
              </w:rPr>
              <w:t>Fence</w:t>
            </w:r>
            <w:r w:rsidR="00723301" w:rsidRPr="00A85497">
              <w:rPr>
                <w:sz w:val="20"/>
                <w:szCs w:val="20"/>
              </w:rPr>
              <w:t>s, white stakes,</w:t>
            </w:r>
            <w:r w:rsidR="00EE50B3" w:rsidRPr="00A85497">
              <w:rPr>
                <w:sz w:val="20"/>
                <w:szCs w:val="20"/>
              </w:rPr>
              <w:t xml:space="preserve"> white lines, and the asphalt edge of roads.</w:t>
            </w:r>
          </w:p>
          <w:p w14:paraId="1DEDA41E" w14:textId="77777777" w:rsidR="003F488B" w:rsidRPr="00A85497" w:rsidRDefault="003F488B">
            <w:pPr>
              <w:rPr>
                <w:sz w:val="20"/>
                <w:szCs w:val="20"/>
              </w:rPr>
            </w:pPr>
            <w:r w:rsidRPr="00A85497">
              <w:rPr>
                <w:sz w:val="20"/>
                <w:szCs w:val="20"/>
              </w:rPr>
              <w:t>A ball coming to rest beyond the r</w:t>
            </w:r>
            <w:r w:rsidR="00D420FD" w:rsidRPr="00A85497">
              <w:rPr>
                <w:sz w:val="20"/>
                <w:szCs w:val="20"/>
              </w:rPr>
              <w:t>oad</w:t>
            </w:r>
            <w:r w:rsidRPr="00A85497">
              <w:rPr>
                <w:sz w:val="20"/>
                <w:szCs w:val="20"/>
              </w:rPr>
              <w:t xml:space="preserve"> on the 6</w:t>
            </w:r>
            <w:r w:rsidRPr="00A85497">
              <w:rPr>
                <w:sz w:val="20"/>
                <w:szCs w:val="20"/>
                <w:vertAlign w:val="superscript"/>
              </w:rPr>
              <w:t>th</w:t>
            </w:r>
            <w:r w:rsidRPr="00A85497">
              <w:rPr>
                <w:sz w:val="20"/>
                <w:szCs w:val="20"/>
              </w:rPr>
              <w:t xml:space="preserve"> and 18</w:t>
            </w:r>
            <w:r w:rsidRPr="00A85497">
              <w:rPr>
                <w:sz w:val="20"/>
                <w:szCs w:val="20"/>
                <w:vertAlign w:val="superscript"/>
              </w:rPr>
              <w:t>th</w:t>
            </w:r>
            <w:r w:rsidRPr="00A85497">
              <w:rPr>
                <w:sz w:val="20"/>
                <w:szCs w:val="20"/>
              </w:rPr>
              <w:t xml:space="preserve"> holes is out of bounds, even if it comes to rest on another part of the course that is in bounds for other holes.</w:t>
            </w:r>
          </w:p>
        </w:tc>
      </w:tr>
      <w:tr w:rsidR="00F71B94" w:rsidRPr="00A85497" w14:paraId="1156763E" w14:textId="77777777">
        <w:tc>
          <w:tcPr>
            <w:tcW w:w="2340" w:type="dxa"/>
          </w:tcPr>
          <w:p w14:paraId="4CEB917A" w14:textId="77777777" w:rsidR="00F71B94" w:rsidRPr="00A85497" w:rsidRDefault="00F71B94">
            <w:pPr>
              <w:rPr>
                <w:sz w:val="20"/>
                <w:szCs w:val="20"/>
              </w:rPr>
            </w:pPr>
          </w:p>
        </w:tc>
        <w:tc>
          <w:tcPr>
            <w:tcW w:w="8460" w:type="dxa"/>
          </w:tcPr>
          <w:p w14:paraId="0438C7D2" w14:textId="77777777" w:rsidR="00F71B94" w:rsidRPr="00A85497" w:rsidRDefault="00F71B94">
            <w:pPr>
              <w:rPr>
                <w:sz w:val="20"/>
                <w:szCs w:val="20"/>
              </w:rPr>
            </w:pPr>
          </w:p>
        </w:tc>
      </w:tr>
      <w:tr w:rsidR="00F71B94" w:rsidRPr="00A85497" w14:paraId="361C7C03" w14:textId="77777777">
        <w:tc>
          <w:tcPr>
            <w:tcW w:w="2340" w:type="dxa"/>
          </w:tcPr>
          <w:p w14:paraId="3D02EFC8" w14:textId="77777777" w:rsidR="00F71B94" w:rsidRPr="00A85497" w:rsidRDefault="00F71B94">
            <w:pPr>
              <w:rPr>
                <w:b/>
                <w:bCs/>
                <w:sz w:val="20"/>
                <w:szCs w:val="20"/>
              </w:rPr>
            </w:pPr>
          </w:p>
        </w:tc>
        <w:tc>
          <w:tcPr>
            <w:tcW w:w="8460" w:type="dxa"/>
          </w:tcPr>
          <w:p w14:paraId="34B59B88" w14:textId="77777777" w:rsidR="00F71B94" w:rsidRPr="00A85497" w:rsidRDefault="00F71B94" w:rsidP="006809BE">
            <w:pPr>
              <w:rPr>
                <w:sz w:val="20"/>
                <w:szCs w:val="20"/>
              </w:rPr>
            </w:pPr>
          </w:p>
        </w:tc>
      </w:tr>
      <w:tr w:rsidR="00F71B94" w:rsidRPr="00A85497" w14:paraId="2406A062" w14:textId="77777777">
        <w:tc>
          <w:tcPr>
            <w:tcW w:w="2340" w:type="dxa"/>
          </w:tcPr>
          <w:p w14:paraId="7DCE3D21" w14:textId="77777777" w:rsidR="00F71B94" w:rsidRPr="00A85497" w:rsidRDefault="00F71B94">
            <w:pPr>
              <w:rPr>
                <w:sz w:val="20"/>
                <w:szCs w:val="20"/>
              </w:rPr>
            </w:pPr>
          </w:p>
        </w:tc>
        <w:tc>
          <w:tcPr>
            <w:tcW w:w="8460" w:type="dxa"/>
          </w:tcPr>
          <w:p w14:paraId="6C0C041C" w14:textId="77777777" w:rsidR="00F71B94" w:rsidRPr="00A85497" w:rsidRDefault="00F71B94">
            <w:pPr>
              <w:rPr>
                <w:sz w:val="20"/>
                <w:szCs w:val="20"/>
              </w:rPr>
            </w:pPr>
          </w:p>
        </w:tc>
      </w:tr>
      <w:tr w:rsidR="00F71B94" w:rsidRPr="00A85497" w14:paraId="23BBC5C2" w14:textId="77777777">
        <w:tc>
          <w:tcPr>
            <w:tcW w:w="2340" w:type="dxa"/>
          </w:tcPr>
          <w:p w14:paraId="2D438CF8" w14:textId="77777777" w:rsidR="00F71B94" w:rsidRPr="00A85497" w:rsidRDefault="006809BE">
            <w:pPr>
              <w:rPr>
                <w:b/>
                <w:bCs/>
                <w:sz w:val="20"/>
                <w:szCs w:val="20"/>
              </w:rPr>
            </w:pPr>
            <w:r w:rsidRPr="00A85497">
              <w:rPr>
                <w:b/>
                <w:bCs/>
                <w:sz w:val="20"/>
                <w:szCs w:val="20"/>
              </w:rPr>
              <w:t>Red Penalty</w:t>
            </w:r>
            <w:r w:rsidR="00F71B94" w:rsidRPr="00A85497">
              <w:rPr>
                <w:b/>
                <w:bCs/>
                <w:sz w:val="20"/>
                <w:szCs w:val="20"/>
              </w:rPr>
              <w:t>:</w:t>
            </w:r>
          </w:p>
          <w:p w14:paraId="1383D6DF" w14:textId="77777777" w:rsidR="006809BE" w:rsidRPr="00A85497" w:rsidRDefault="006809BE">
            <w:pPr>
              <w:rPr>
                <w:b/>
                <w:bCs/>
                <w:sz w:val="20"/>
                <w:szCs w:val="20"/>
              </w:rPr>
            </w:pPr>
            <w:r w:rsidRPr="00A85497">
              <w:rPr>
                <w:b/>
                <w:bCs/>
                <w:sz w:val="20"/>
                <w:szCs w:val="20"/>
              </w:rPr>
              <w:t>Areas</w:t>
            </w:r>
          </w:p>
        </w:tc>
        <w:tc>
          <w:tcPr>
            <w:tcW w:w="8460" w:type="dxa"/>
          </w:tcPr>
          <w:p w14:paraId="43D6D525" w14:textId="77777777" w:rsidR="00F71B94" w:rsidRPr="00A85497" w:rsidRDefault="000C77EA">
            <w:pPr>
              <w:pStyle w:val="Heading1"/>
              <w:rPr>
                <w:b w:val="0"/>
                <w:bCs w:val="0"/>
                <w:sz w:val="20"/>
                <w:szCs w:val="20"/>
              </w:rPr>
            </w:pPr>
            <w:r w:rsidRPr="00A85497">
              <w:rPr>
                <w:b w:val="0"/>
                <w:bCs w:val="0"/>
                <w:sz w:val="20"/>
                <w:szCs w:val="20"/>
              </w:rPr>
              <w:t>All</w:t>
            </w:r>
            <w:r w:rsidR="00A81907" w:rsidRPr="00A85497">
              <w:rPr>
                <w:b w:val="0"/>
                <w:bCs w:val="0"/>
                <w:sz w:val="20"/>
                <w:szCs w:val="20"/>
              </w:rPr>
              <w:t xml:space="preserve"> Penalty Areas</w:t>
            </w:r>
            <w:r w:rsidRPr="00A85497">
              <w:rPr>
                <w:b w:val="0"/>
                <w:bCs w:val="0"/>
                <w:sz w:val="20"/>
                <w:szCs w:val="20"/>
              </w:rPr>
              <w:t xml:space="preserve"> </w:t>
            </w:r>
            <w:r w:rsidR="00D420FD" w:rsidRPr="00A85497">
              <w:rPr>
                <w:b w:val="0"/>
                <w:bCs w:val="0"/>
                <w:sz w:val="20"/>
                <w:szCs w:val="20"/>
              </w:rPr>
              <w:t xml:space="preserve">are </w:t>
            </w:r>
            <w:r w:rsidRPr="00A85497">
              <w:rPr>
                <w:b w:val="0"/>
                <w:bCs w:val="0"/>
                <w:sz w:val="20"/>
                <w:szCs w:val="20"/>
              </w:rPr>
              <w:t>Red and</w:t>
            </w:r>
            <w:r w:rsidR="00EB2906" w:rsidRPr="00A85497">
              <w:rPr>
                <w:b w:val="0"/>
                <w:bCs w:val="0"/>
                <w:sz w:val="20"/>
                <w:szCs w:val="20"/>
              </w:rPr>
              <w:t xml:space="preserve"> are</w:t>
            </w:r>
            <w:r w:rsidR="00A81907" w:rsidRPr="00A85497">
              <w:rPr>
                <w:b w:val="0"/>
                <w:bCs w:val="0"/>
                <w:sz w:val="20"/>
                <w:szCs w:val="20"/>
              </w:rPr>
              <w:t xml:space="preserve"> identified</w:t>
            </w:r>
            <w:r w:rsidR="00EB2906" w:rsidRPr="00A85497">
              <w:rPr>
                <w:b w:val="0"/>
                <w:bCs w:val="0"/>
                <w:sz w:val="20"/>
                <w:szCs w:val="20"/>
              </w:rPr>
              <w:t xml:space="preserve"> by red stakes and</w:t>
            </w:r>
            <w:r w:rsidR="00A81907" w:rsidRPr="00A85497">
              <w:rPr>
                <w:b w:val="0"/>
                <w:bCs w:val="0"/>
                <w:sz w:val="20"/>
                <w:szCs w:val="20"/>
              </w:rPr>
              <w:t xml:space="preserve"> defined</w:t>
            </w:r>
            <w:r w:rsidR="00EB2906" w:rsidRPr="00A85497">
              <w:rPr>
                <w:b w:val="0"/>
                <w:bCs w:val="0"/>
                <w:sz w:val="20"/>
                <w:szCs w:val="20"/>
              </w:rPr>
              <w:t xml:space="preserve"> by red lin</w:t>
            </w:r>
            <w:r w:rsidR="00EE50B3" w:rsidRPr="00A85497">
              <w:rPr>
                <w:b w:val="0"/>
                <w:bCs w:val="0"/>
                <w:sz w:val="20"/>
                <w:szCs w:val="20"/>
              </w:rPr>
              <w:t xml:space="preserve">es. </w:t>
            </w:r>
            <w:r w:rsidR="00687626" w:rsidRPr="00A85497">
              <w:rPr>
                <w:b w:val="0"/>
                <w:bCs w:val="0"/>
                <w:sz w:val="20"/>
                <w:szCs w:val="20"/>
              </w:rPr>
              <w:t>“Drop Zones” ha</w:t>
            </w:r>
            <w:r w:rsidRPr="00A85497">
              <w:rPr>
                <w:b w:val="0"/>
                <w:bCs w:val="0"/>
                <w:sz w:val="20"/>
                <w:szCs w:val="20"/>
              </w:rPr>
              <w:t>ve</w:t>
            </w:r>
            <w:r w:rsidR="00BC335E" w:rsidRPr="00A85497">
              <w:rPr>
                <w:b w:val="0"/>
                <w:bCs w:val="0"/>
                <w:sz w:val="20"/>
                <w:szCs w:val="20"/>
              </w:rPr>
              <w:t xml:space="preserve"> been established on the 3</w:t>
            </w:r>
            <w:r w:rsidR="00687626" w:rsidRPr="00A85497">
              <w:rPr>
                <w:b w:val="0"/>
                <w:bCs w:val="0"/>
                <w:sz w:val="20"/>
                <w:szCs w:val="20"/>
                <w:vertAlign w:val="superscript"/>
              </w:rPr>
              <w:t xml:space="preserve">rd </w:t>
            </w:r>
            <w:r w:rsidR="00687626" w:rsidRPr="00A85497">
              <w:rPr>
                <w:b w:val="0"/>
                <w:bCs w:val="0"/>
                <w:sz w:val="20"/>
                <w:szCs w:val="20"/>
              </w:rPr>
              <w:t>hole</w:t>
            </w:r>
            <w:r w:rsidR="00BC335E" w:rsidRPr="00A85497">
              <w:rPr>
                <w:b w:val="0"/>
                <w:bCs w:val="0"/>
                <w:sz w:val="20"/>
                <w:szCs w:val="20"/>
              </w:rPr>
              <w:t xml:space="preserve"> and </w:t>
            </w:r>
            <w:r w:rsidR="00EE50B3" w:rsidRPr="00A85497">
              <w:rPr>
                <w:b w:val="0"/>
                <w:bCs w:val="0"/>
                <w:sz w:val="20"/>
                <w:szCs w:val="20"/>
              </w:rPr>
              <w:t>7th</w:t>
            </w:r>
            <w:r w:rsidR="00687626" w:rsidRPr="00A85497">
              <w:rPr>
                <w:b w:val="0"/>
                <w:bCs w:val="0"/>
                <w:sz w:val="20"/>
                <w:szCs w:val="20"/>
              </w:rPr>
              <w:t xml:space="preserve"> hole.</w:t>
            </w:r>
            <w:r w:rsidRPr="00A85497">
              <w:rPr>
                <w:b w:val="0"/>
                <w:bCs w:val="0"/>
                <w:sz w:val="20"/>
                <w:szCs w:val="20"/>
              </w:rPr>
              <w:t xml:space="preserve"> </w:t>
            </w:r>
            <w:r w:rsidRPr="00A85497">
              <w:rPr>
                <w:sz w:val="20"/>
                <w:szCs w:val="20"/>
              </w:rPr>
              <w:t>These DZ’s are on the green side of the Penalty Area and likely and advantage to use.</w:t>
            </w:r>
            <w:r w:rsidR="00687626" w:rsidRPr="00A85497">
              <w:rPr>
                <w:b w:val="0"/>
                <w:bCs w:val="0"/>
                <w:sz w:val="20"/>
                <w:szCs w:val="20"/>
              </w:rPr>
              <w:t xml:space="preserve">  The “DZ” may</w:t>
            </w:r>
            <w:r w:rsidR="00BC335E" w:rsidRPr="00A85497">
              <w:rPr>
                <w:b w:val="0"/>
                <w:bCs w:val="0"/>
                <w:sz w:val="20"/>
                <w:szCs w:val="20"/>
              </w:rPr>
              <w:t xml:space="preserve"> be used as an additional option under Rule 17 for a ball that is in, or know or virtually certain to be in, the Penalty Area.</w:t>
            </w:r>
            <w:r w:rsidR="00A81907" w:rsidRPr="00A85497">
              <w:rPr>
                <w:b w:val="0"/>
                <w:bCs w:val="0"/>
                <w:sz w:val="20"/>
                <w:szCs w:val="20"/>
              </w:rPr>
              <w:t xml:space="preserve"> </w:t>
            </w:r>
            <w:r w:rsidR="00EE50B3" w:rsidRPr="00A85497">
              <w:rPr>
                <w:sz w:val="20"/>
                <w:szCs w:val="20"/>
              </w:rPr>
              <w:t>To use the “Drop Zone” on hole 7, the ball must have crossed the red line closer to the hole than the irrigation flags on the left side of the Penalty Area.</w:t>
            </w:r>
            <w:r w:rsidRPr="00A85497">
              <w:rPr>
                <w:b w:val="0"/>
                <w:bCs w:val="0"/>
                <w:sz w:val="20"/>
                <w:szCs w:val="20"/>
              </w:rPr>
              <w:t xml:space="preserve"> </w:t>
            </w:r>
          </w:p>
        </w:tc>
      </w:tr>
      <w:tr w:rsidR="00F71B94" w:rsidRPr="00A85497" w14:paraId="720229BC" w14:textId="77777777">
        <w:tc>
          <w:tcPr>
            <w:tcW w:w="2340" w:type="dxa"/>
          </w:tcPr>
          <w:p w14:paraId="759E6ABB" w14:textId="77777777" w:rsidR="00F71B94" w:rsidRPr="00A85497" w:rsidRDefault="00F71B94">
            <w:pPr>
              <w:rPr>
                <w:b/>
                <w:sz w:val="20"/>
                <w:szCs w:val="20"/>
              </w:rPr>
            </w:pPr>
          </w:p>
        </w:tc>
        <w:tc>
          <w:tcPr>
            <w:tcW w:w="8460" w:type="dxa"/>
          </w:tcPr>
          <w:p w14:paraId="59717E2B" w14:textId="77777777" w:rsidR="00F71B94" w:rsidRPr="00A85497" w:rsidRDefault="00F71B94">
            <w:pPr>
              <w:pStyle w:val="Heading1"/>
              <w:rPr>
                <w:sz w:val="20"/>
                <w:szCs w:val="20"/>
              </w:rPr>
            </w:pPr>
          </w:p>
        </w:tc>
      </w:tr>
      <w:tr w:rsidR="00F71B94" w:rsidRPr="00A85497" w14:paraId="46B90458" w14:textId="77777777">
        <w:tc>
          <w:tcPr>
            <w:tcW w:w="2340" w:type="dxa"/>
          </w:tcPr>
          <w:p w14:paraId="580803A3" w14:textId="77777777" w:rsidR="00F71B94" w:rsidRPr="00A85497" w:rsidRDefault="00F71B94">
            <w:pPr>
              <w:rPr>
                <w:b/>
                <w:bCs/>
                <w:sz w:val="20"/>
                <w:szCs w:val="20"/>
              </w:rPr>
            </w:pPr>
            <w:r w:rsidRPr="00A85497">
              <w:rPr>
                <w:b/>
                <w:sz w:val="20"/>
                <w:szCs w:val="20"/>
              </w:rPr>
              <w:t>Ground Under</w:t>
            </w:r>
            <w:r w:rsidRPr="00A85497">
              <w:rPr>
                <w:b/>
                <w:bCs/>
                <w:sz w:val="20"/>
                <w:szCs w:val="20"/>
              </w:rPr>
              <w:t xml:space="preserve"> Repair:</w:t>
            </w:r>
          </w:p>
        </w:tc>
        <w:tc>
          <w:tcPr>
            <w:tcW w:w="8460" w:type="dxa"/>
          </w:tcPr>
          <w:p w14:paraId="4680653F" w14:textId="77777777" w:rsidR="00F71B94" w:rsidRPr="00A85497" w:rsidRDefault="00687626">
            <w:pPr>
              <w:rPr>
                <w:bCs/>
                <w:sz w:val="20"/>
                <w:szCs w:val="20"/>
              </w:rPr>
            </w:pPr>
            <w:r w:rsidRPr="00A85497">
              <w:rPr>
                <w:bCs/>
                <w:sz w:val="20"/>
                <w:szCs w:val="20"/>
              </w:rPr>
              <w:t>White lined areas.  Refer to Rule 16 for relief options.</w:t>
            </w:r>
            <w:r w:rsidR="006809BE" w:rsidRPr="00A85497">
              <w:rPr>
                <w:b/>
                <w:bCs/>
                <w:sz w:val="20"/>
                <w:szCs w:val="20"/>
              </w:rPr>
              <w:t xml:space="preserve">  </w:t>
            </w:r>
            <w:r w:rsidR="00EB2906" w:rsidRPr="00A85497">
              <w:rPr>
                <w:b/>
                <w:bCs/>
                <w:sz w:val="20"/>
                <w:szCs w:val="20"/>
              </w:rPr>
              <w:t xml:space="preserve">  </w:t>
            </w:r>
          </w:p>
        </w:tc>
      </w:tr>
      <w:tr w:rsidR="00F71B94" w:rsidRPr="00A85497" w14:paraId="6A097D8D" w14:textId="77777777">
        <w:tc>
          <w:tcPr>
            <w:tcW w:w="2340" w:type="dxa"/>
          </w:tcPr>
          <w:p w14:paraId="42E8715F" w14:textId="77777777" w:rsidR="00F71B94" w:rsidRPr="00A85497" w:rsidRDefault="00F71B94">
            <w:pPr>
              <w:rPr>
                <w:bCs/>
                <w:sz w:val="20"/>
                <w:szCs w:val="20"/>
              </w:rPr>
            </w:pPr>
          </w:p>
        </w:tc>
        <w:tc>
          <w:tcPr>
            <w:tcW w:w="8460" w:type="dxa"/>
          </w:tcPr>
          <w:p w14:paraId="6A521556" w14:textId="77777777" w:rsidR="00F71B94" w:rsidRPr="00A85497" w:rsidRDefault="00F71B94">
            <w:pPr>
              <w:rPr>
                <w:bCs/>
                <w:sz w:val="20"/>
                <w:szCs w:val="20"/>
              </w:rPr>
            </w:pPr>
          </w:p>
        </w:tc>
      </w:tr>
      <w:tr w:rsidR="00F71B94" w:rsidRPr="00A85497" w14:paraId="2A5F0F2D" w14:textId="77777777">
        <w:tc>
          <w:tcPr>
            <w:tcW w:w="2340" w:type="dxa"/>
          </w:tcPr>
          <w:p w14:paraId="092266FD" w14:textId="77777777" w:rsidR="00F71B94" w:rsidRPr="00A85497" w:rsidRDefault="00F71B94">
            <w:pPr>
              <w:rPr>
                <w:b/>
                <w:sz w:val="20"/>
                <w:szCs w:val="20"/>
              </w:rPr>
            </w:pPr>
            <w:r w:rsidRPr="00A85497">
              <w:rPr>
                <w:b/>
                <w:sz w:val="20"/>
                <w:szCs w:val="20"/>
              </w:rPr>
              <w:t>Obstructions:</w:t>
            </w:r>
          </w:p>
        </w:tc>
        <w:tc>
          <w:tcPr>
            <w:tcW w:w="8460" w:type="dxa"/>
          </w:tcPr>
          <w:p w14:paraId="07D5A672" w14:textId="77777777" w:rsidR="00584BA8" w:rsidRPr="00A85497" w:rsidRDefault="000C77EA">
            <w:pPr>
              <w:rPr>
                <w:bCs/>
                <w:sz w:val="20"/>
                <w:szCs w:val="20"/>
              </w:rPr>
            </w:pPr>
            <w:r w:rsidRPr="00A85497">
              <w:rPr>
                <w:bCs/>
                <w:sz w:val="20"/>
                <w:szCs w:val="20"/>
              </w:rPr>
              <w:t>Any rocks or flowers that are adjacent to or surrounded by a cart path are part of the cart path</w:t>
            </w:r>
            <w:r w:rsidR="003F488B" w:rsidRPr="00A85497">
              <w:rPr>
                <w:bCs/>
                <w:sz w:val="20"/>
                <w:szCs w:val="20"/>
              </w:rPr>
              <w:t xml:space="preserve">. </w:t>
            </w:r>
            <w:r w:rsidRPr="00A85497">
              <w:rPr>
                <w:bCs/>
                <w:sz w:val="20"/>
                <w:szCs w:val="20"/>
              </w:rPr>
              <w:t>Refer to Rule 16 for Relief Procedure.</w:t>
            </w:r>
            <w:r w:rsidR="003E3D5D" w:rsidRPr="00A85497">
              <w:rPr>
                <w:bCs/>
                <w:sz w:val="20"/>
                <w:szCs w:val="20"/>
              </w:rPr>
              <w:t xml:space="preserve"> The rocks in the right rough of the 5</w:t>
            </w:r>
            <w:r w:rsidR="003E3D5D" w:rsidRPr="00A85497">
              <w:rPr>
                <w:bCs/>
                <w:sz w:val="20"/>
                <w:szCs w:val="20"/>
                <w:vertAlign w:val="superscript"/>
              </w:rPr>
              <w:t>th</w:t>
            </w:r>
            <w:r w:rsidR="003E3D5D" w:rsidRPr="00A85497">
              <w:rPr>
                <w:bCs/>
                <w:sz w:val="20"/>
                <w:szCs w:val="20"/>
              </w:rPr>
              <w:t xml:space="preserve"> hole (for drainage) approximately 200 yards from the green are considered an immovable obstruction.</w:t>
            </w:r>
          </w:p>
        </w:tc>
      </w:tr>
      <w:tr w:rsidR="00F71B94" w:rsidRPr="00A85497" w14:paraId="2E22892B" w14:textId="77777777">
        <w:tc>
          <w:tcPr>
            <w:tcW w:w="2340" w:type="dxa"/>
          </w:tcPr>
          <w:p w14:paraId="1BD5E7D3" w14:textId="77777777" w:rsidR="00F71B94" w:rsidRPr="00A85497" w:rsidRDefault="00F71B94">
            <w:pPr>
              <w:rPr>
                <w:sz w:val="20"/>
                <w:szCs w:val="20"/>
              </w:rPr>
            </w:pPr>
          </w:p>
        </w:tc>
        <w:tc>
          <w:tcPr>
            <w:tcW w:w="8460" w:type="dxa"/>
          </w:tcPr>
          <w:p w14:paraId="782B3F26" w14:textId="77777777" w:rsidR="00F71B94" w:rsidRPr="00A85497" w:rsidRDefault="00F71B94">
            <w:pPr>
              <w:rPr>
                <w:sz w:val="20"/>
                <w:szCs w:val="20"/>
              </w:rPr>
            </w:pPr>
          </w:p>
        </w:tc>
      </w:tr>
      <w:tr w:rsidR="00A85497" w:rsidRPr="00A85497" w14:paraId="0F169E7F" w14:textId="77777777">
        <w:tc>
          <w:tcPr>
            <w:tcW w:w="2340" w:type="dxa"/>
          </w:tcPr>
          <w:p w14:paraId="7DF513E7" w14:textId="302C7758" w:rsidR="00A85497" w:rsidRPr="00A85497" w:rsidRDefault="00A85497" w:rsidP="00A85497">
            <w:pPr>
              <w:rPr>
                <w:b/>
                <w:bCs/>
                <w:sz w:val="20"/>
                <w:szCs w:val="20"/>
              </w:rPr>
            </w:pPr>
            <w:r w:rsidRPr="00A85497">
              <w:rPr>
                <w:b/>
                <w:bCs/>
                <w:sz w:val="20"/>
                <w:szCs w:val="20"/>
              </w:rPr>
              <w:t>Rest Areas:</w:t>
            </w:r>
          </w:p>
        </w:tc>
        <w:tc>
          <w:tcPr>
            <w:tcW w:w="8460" w:type="dxa"/>
          </w:tcPr>
          <w:p w14:paraId="3E098A97" w14:textId="34EB30BA" w:rsidR="00A85497" w:rsidRPr="00A85497" w:rsidRDefault="00A85497" w:rsidP="00A85497">
            <w:pPr>
              <w:rPr>
                <w:bCs/>
                <w:sz w:val="20"/>
                <w:szCs w:val="20"/>
              </w:rPr>
            </w:pPr>
            <w:r w:rsidRPr="00A85497">
              <w:rPr>
                <w:sz w:val="20"/>
                <w:szCs w:val="20"/>
              </w:rPr>
              <w:t>3rd tee, 6th, 14</w:t>
            </w:r>
            <w:r w:rsidRPr="00A85497">
              <w:rPr>
                <w:sz w:val="20"/>
                <w:szCs w:val="20"/>
                <w:vertAlign w:val="superscript"/>
              </w:rPr>
              <w:t>th</w:t>
            </w:r>
            <w:r w:rsidRPr="00A85497">
              <w:rPr>
                <w:sz w:val="20"/>
                <w:szCs w:val="20"/>
              </w:rPr>
              <w:t xml:space="preserve"> tee and 15</w:t>
            </w:r>
            <w:r w:rsidRPr="00A85497">
              <w:rPr>
                <w:sz w:val="20"/>
                <w:szCs w:val="20"/>
                <w:vertAlign w:val="superscript"/>
              </w:rPr>
              <w:t>th</w:t>
            </w:r>
            <w:r w:rsidRPr="00A85497">
              <w:rPr>
                <w:sz w:val="20"/>
                <w:szCs w:val="20"/>
              </w:rPr>
              <w:t xml:space="preserve"> tee.</w:t>
            </w:r>
          </w:p>
        </w:tc>
      </w:tr>
      <w:tr w:rsidR="00A85497" w:rsidRPr="00A85497" w14:paraId="19E6E005" w14:textId="77777777">
        <w:tc>
          <w:tcPr>
            <w:tcW w:w="2340" w:type="dxa"/>
          </w:tcPr>
          <w:p w14:paraId="71CB273B" w14:textId="77777777" w:rsidR="00A85497" w:rsidRPr="00A85497" w:rsidRDefault="00A85497" w:rsidP="00A85497">
            <w:pPr>
              <w:rPr>
                <w:sz w:val="20"/>
                <w:szCs w:val="20"/>
              </w:rPr>
            </w:pPr>
          </w:p>
        </w:tc>
        <w:tc>
          <w:tcPr>
            <w:tcW w:w="8460" w:type="dxa"/>
          </w:tcPr>
          <w:p w14:paraId="19ACEC03" w14:textId="77777777" w:rsidR="00A85497" w:rsidRPr="00A85497" w:rsidRDefault="00A85497" w:rsidP="00A85497">
            <w:pPr>
              <w:rPr>
                <w:sz w:val="20"/>
                <w:szCs w:val="20"/>
              </w:rPr>
            </w:pPr>
          </w:p>
        </w:tc>
      </w:tr>
      <w:tr w:rsidR="00A85497" w:rsidRPr="00A85497" w14:paraId="5211498A" w14:textId="77777777">
        <w:tc>
          <w:tcPr>
            <w:tcW w:w="2340" w:type="dxa"/>
          </w:tcPr>
          <w:p w14:paraId="492CEABF" w14:textId="1210970F" w:rsidR="00A85497" w:rsidRPr="00A85497" w:rsidRDefault="00A85497" w:rsidP="00A85497">
            <w:pPr>
              <w:rPr>
                <w:b/>
                <w:bCs/>
                <w:sz w:val="20"/>
                <w:szCs w:val="20"/>
              </w:rPr>
            </w:pPr>
            <w:r w:rsidRPr="00A85497">
              <w:rPr>
                <w:b/>
                <w:bCs/>
                <w:sz w:val="20"/>
                <w:szCs w:val="20"/>
              </w:rPr>
              <w:t>Drinking Water:</w:t>
            </w:r>
          </w:p>
        </w:tc>
        <w:tc>
          <w:tcPr>
            <w:tcW w:w="8460" w:type="dxa"/>
          </w:tcPr>
          <w:p w14:paraId="217FC34A" w14:textId="77777777" w:rsidR="00A85497" w:rsidRPr="00A85497" w:rsidRDefault="00A85497" w:rsidP="00A85497">
            <w:pPr>
              <w:rPr>
                <w:sz w:val="20"/>
                <w:szCs w:val="20"/>
              </w:rPr>
            </w:pPr>
            <w:r w:rsidRPr="00A85497">
              <w:rPr>
                <w:sz w:val="20"/>
                <w:szCs w:val="20"/>
              </w:rPr>
              <w:t>3/5/8/12/16</w:t>
            </w:r>
          </w:p>
          <w:p w14:paraId="5B366D70" w14:textId="02C01667" w:rsidR="00A85497" w:rsidRPr="00A85497" w:rsidRDefault="00A85497" w:rsidP="00A85497">
            <w:pPr>
              <w:rPr>
                <w:sz w:val="20"/>
                <w:szCs w:val="20"/>
                <w:vertAlign w:val="superscript"/>
              </w:rPr>
            </w:pPr>
          </w:p>
        </w:tc>
      </w:tr>
      <w:tr w:rsidR="00A85497" w:rsidRPr="00A85497" w14:paraId="34087328" w14:textId="77777777">
        <w:tc>
          <w:tcPr>
            <w:tcW w:w="2340" w:type="dxa"/>
          </w:tcPr>
          <w:p w14:paraId="7C3F0387" w14:textId="77777777" w:rsidR="00A85497" w:rsidRPr="00A85497" w:rsidRDefault="00A85497" w:rsidP="00A85497">
            <w:pPr>
              <w:rPr>
                <w:sz w:val="20"/>
                <w:szCs w:val="20"/>
              </w:rPr>
            </w:pPr>
          </w:p>
        </w:tc>
        <w:tc>
          <w:tcPr>
            <w:tcW w:w="8460" w:type="dxa"/>
          </w:tcPr>
          <w:p w14:paraId="18774E6D" w14:textId="77777777" w:rsidR="00A85497" w:rsidRPr="00A85497" w:rsidRDefault="00A85497" w:rsidP="00A85497">
            <w:pPr>
              <w:rPr>
                <w:sz w:val="20"/>
                <w:szCs w:val="20"/>
              </w:rPr>
            </w:pPr>
          </w:p>
        </w:tc>
      </w:tr>
      <w:tr w:rsidR="00A85497" w:rsidRPr="00A85497" w14:paraId="1DAC091A" w14:textId="77777777">
        <w:tc>
          <w:tcPr>
            <w:tcW w:w="2340" w:type="dxa"/>
          </w:tcPr>
          <w:p w14:paraId="43368AEA" w14:textId="7040C28D" w:rsidR="00A85497" w:rsidRPr="00A85497" w:rsidRDefault="00A85497" w:rsidP="00A85497">
            <w:pPr>
              <w:rPr>
                <w:b/>
                <w:bCs/>
                <w:sz w:val="20"/>
                <w:szCs w:val="20"/>
              </w:rPr>
            </w:pPr>
            <w:r w:rsidRPr="00A85497">
              <w:rPr>
                <w:b/>
                <w:bCs/>
                <w:sz w:val="20"/>
                <w:szCs w:val="20"/>
              </w:rPr>
              <w:t>Decisions On Ties:</w:t>
            </w:r>
          </w:p>
        </w:tc>
        <w:tc>
          <w:tcPr>
            <w:tcW w:w="8460" w:type="dxa"/>
          </w:tcPr>
          <w:p w14:paraId="7F7485B1" w14:textId="77777777" w:rsidR="00A85497" w:rsidRPr="00A85497" w:rsidRDefault="00A85497" w:rsidP="00A85497">
            <w:pPr>
              <w:rPr>
                <w:sz w:val="20"/>
                <w:szCs w:val="20"/>
              </w:rPr>
            </w:pPr>
            <w:r w:rsidRPr="00A85497">
              <w:rPr>
                <w:sz w:val="20"/>
                <w:szCs w:val="20"/>
              </w:rPr>
              <w:t>A hole-by-hole play-off will be held for Championship flight (holes will be determined by the Committee).  Any tie for a “flight” will be settled as suggested by the USGA.  Please refer to the “Official Guide to the Rules of Golf” page 403.  If still tied, a coin flip.</w:t>
            </w:r>
          </w:p>
          <w:p w14:paraId="192AE551" w14:textId="77777777" w:rsidR="00A85497" w:rsidRPr="00A85497" w:rsidRDefault="00A85497" w:rsidP="00A85497">
            <w:pPr>
              <w:rPr>
                <w:sz w:val="20"/>
                <w:szCs w:val="20"/>
              </w:rPr>
            </w:pPr>
          </w:p>
        </w:tc>
      </w:tr>
      <w:tr w:rsidR="00A85497" w:rsidRPr="00A85497" w14:paraId="13650924" w14:textId="77777777">
        <w:tc>
          <w:tcPr>
            <w:tcW w:w="2340" w:type="dxa"/>
          </w:tcPr>
          <w:p w14:paraId="6BE5F885" w14:textId="5B3D1E75" w:rsidR="00A85497" w:rsidRPr="00A85497" w:rsidRDefault="00A85497" w:rsidP="00A85497">
            <w:pPr>
              <w:rPr>
                <w:sz w:val="20"/>
                <w:szCs w:val="20"/>
              </w:rPr>
            </w:pPr>
          </w:p>
        </w:tc>
        <w:tc>
          <w:tcPr>
            <w:tcW w:w="8460" w:type="dxa"/>
          </w:tcPr>
          <w:p w14:paraId="5CDFDE6E" w14:textId="77777777" w:rsidR="00A85497" w:rsidRPr="00A85497" w:rsidRDefault="00A85497" w:rsidP="00A85497">
            <w:pPr>
              <w:rPr>
                <w:sz w:val="20"/>
                <w:szCs w:val="20"/>
              </w:rPr>
            </w:pPr>
          </w:p>
        </w:tc>
      </w:tr>
      <w:tr w:rsidR="00A85497" w:rsidRPr="00A85497" w14:paraId="4B0B1BBE" w14:textId="77777777">
        <w:tc>
          <w:tcPr>
            <w:tcW w:w="2340" w:type="dxa"/>
          </w:tcPr>
          <w:p w14:paraId="261C6220" w14:textId="3A7159AB" w:rsidR="00A85497" w:rsidRPr="00A85497" w:rsidRDefault="00A85497" w:rsidP="00A85497">
            <w:pPr>
              <w:rPr>
                <w:b/>
                <w:bCs/>
                <w:sz w:val="20"/>
                <w:szCs w:val="20"/>
              </w:rPr>
            </w:pPr>
            <w:r>
              <w:rPr>
                <w:b/>
                <w:bCs/>
                <w:sz w:val="20"/>
                <w:szCs w:val="20"/>
              </w:rPr>
              <w:t>Rules Committee</w:t>
            </w:r>
          </w:p>
        </w:tc>
        <w:tc>
          <w:tcPr>
            <w:tcW w:w="8460" w:type="dxa"/>
          </w:tcPr>
          <w:p w14:paraId="0CE512B3" w14:textId="706AEC6F" w:rsidR="00A85497" w:rsidRPr="00A85497" w:rsidRDefault="00A85497" w:rsidP="00A85497">
            <w:pPr>
              <w:rPr>
                <w:sz w:val="20"/>
                <w:szCs w:val="20"/>
              </w:rPr>
            </w:pPr>
            <w:r>
              <w:rPr>
                <w:sz w:val="20"/>
                <w:szCs w:val="20"/>
              </w:rPr>
              <w:t xml:space="preserve">Rachel Blauert, Bill </w:t>
            </w:r>
            <w:proofErr w:type="spellStart"/>
            <w:r>
              <w:rPr>
                <w:sz w:val="20"/>
                <w:szCs w:val="20"/>
              </w:rPr>
              <w:t>Hoymeyer</w:t>
            </w:r>
            <w:proofErr w:type="spellEnd"/>
            <w:r>
              <w:rPr>
                <w:sz w:val="20"/>
                <w:szCs w:val="20"/>
              </w:rPr>
              <w:t>, and Joel Comstock</w:t>
            </w:r>
          </w:p>
        </w:tc>
      </w:tr>
    </w:tbl>
    <w:p w14:paraId="7A7E0C02" w14:textId="37E1B793" w:rsidR="00F71B94" w:rsidRPr="00A85497" w:rsidRDefault="00F71B94">
      <w:pPr>
        <w:rPr>
          <w:sz w:val="20"/>
          <w:szCs w:val="20"/>
        </w:rPr>
      </w:pPr>
    </w:p>
    <w:p w14:paraId="509FA974" w14:textId="77777777" w:rsidR="00F71B94" w:rsidRPr="00A85497" w:rsidRDefault="00F71B94">
      <w:pPr>
        <w:pStyle w:val="Heading2"/>
        <w:rPr>
          <w:sz w:val="20"/>
          <w:szCs w:val="20"/>
        </w:rPr>
      </w:pPr>
      <w:r w:rsidRPr="00A85497">
        <w:rPr>
          <w:sz w:val="20"/>
          <w:szCs w:val="20"/>
        </w:rPr>
        <w:t>Severe Weather Course Evacuation Plan</w:t>
      </w:r>
    </w:p>
    <w:p w14:paraId="1834A361" w14:textId="77777777" w:rsidR="00F71B94" w:rsidRPr="00A85497" w:rsidRDefault="00F71B94">
      <w:pPr>
        <w:rPr>
          <w:b/>
          <w:bCs/>
          <w:sz w:val="20"/>
          <w:szCs w:val="20"/>
        </w:rPr>
      </w:pPr>
    </w:p>
    <w:p w14:paraId="366C8AB8" w14:textId="77777777" w:rsidR="00F71B94" w:rsidRPr="00A85497" w:rsidRDefault="00F71B94">
      <w:pPr>
        <w:rPr>
          <w:b/>
          <w:bCs/>
          <w:sz w:val="20"/>
          <w:szCs w:val="20"/>
        </w:rPr>
      </w:pPr>
      <w:r w:rsidRPr="00A85497">
        <w:rPr>
          <w:b/>
          <w:bCs/>
          <w:sz w:val="20"/>
          <w:szCs w:val="20"/>
        </w:rPr>
        <w:t>Signals</w:t>
      </w:r>
      <w:r w:rsidRPr="00A85497">
        <w:rPr>
          <w:b/>
          <w:bCs/>
          <w:sz w:val="20"/>
          <w:szCs w:val="20"/>
        </w:rPr>
        <w:tab/>
      </w:r>
      <w:r w:rsidRPr="00A85497">
        <w:rPr>
          <w:b/>
          <w:bCs/>
          <w:sz w:val="20"/>
          <w:szCs w:val="20"/>
        </w:rPr>
        <w:tab/>
        <w:t xml:space="preserve">One (1) </w:t>
      </w:r>
      <w:r w:rsidRPr="00A85497">
        <w:rPr>
          <w:sz w:val="20"/>
          <w:szCs w:val="20"/>
        </w:rPr>
        <w:t xml:space="preserve">long blast = Discontinue Play </w:t>
      </w:r>
      <w:r w:rsidRPr="00A85497">
        <w:rPr>
          <w:b/>
          <w:bCs/>
          <w:i/>
          <w:sz w:val="20"/>
          <w:szCs w:val="20"/>
        </w:rPr>
        <w:t>immediately</w:t>
      </w:r>
    </w:p>
    <w:p w14:paraId="7D127D72" w14:textId="77777777" w:rsidR="00F71B94" w:rsidRPr="00A85497" w:rsidRDefault="00F71B94">
      <w:pPr>
        <w:rPr>
          <w:sz w:val="20"/>
          <w:szCs w:val="20"/>
        </w:rPr>
      </w:pPr>
      <w:r w:rsidRPr="00A85497">
        <w:rPr>
          <w:b/>
          <w:bCs/>
          <w:sz w:val="20"/>
          <w:szCs w:val="20"/>
        </w:rPr>
        <w:tab/>
      </w:r>
      <w:r w:rsidRPr="00A85497">
        <w:rPr>
          <w:b/>
          <w:bCs/>
          <w:sz w:val="20"/>
          <w:szCs w:val="20"/>
        </w:rPr>
        <w:tab/>
      </w:r>
      <w:r w:rsidRPr="00A85497">
        <w:rPr>
          <w:b/>
          <w:bCs/>
          <w:sz w:val="20"/>
          <w:szCs w:val="20"/>
        </w:rPr>
        <w:tab/>
        <w:t xml:space="preserve">Two (2) </w:t>
      </w:r>
      <w:r w:rsidRPr="00A85497">
        <w:rPr>
          <w:sz w:val="20"/>
          <w:szCs w:val="20"/>
        </w:rPr>
        <w:t>short</w:t>
      </w:r>
      <w:r w:rsidRPr="00A85497">
        <w:rPr>
          <w:b/>
          <w:bCs/>
          <w:sz w:val="20"/>
          <w:szCs w:val="20"/>
        </w:rPr>
        <w:t xml:space="preserve"> </w:t>
      </w:r>
      <w:r w:rsidRPr="00A85497">
        <w:rPr>
          <w:sz w:val="20"/>
          <w:szCs w:val="20"/>
        </w:rPr>
        <w:t>blasts = Resume play</w:t>
      </w:r>
    </w:p>
    <w:p w14:paraId="49637EFE" w14:textId="77777777" w:rsidR="009115F2" w:rsidRPr="00A85497" w:rsidRDefault="009115F2">
      <w:pPr>
        <w:rPr>
          <w:sz w:val="20"/>
          <w:szCs w:val="20"/>
        </w:rPr>
      </w:pPr>
      <w:r w:rsidRPr="00A85497">
        <w:rPr>
          <w:sz w:val="20"/>
          <w:szCs w:val="20"/>
        </w:rPr>
        <w:tab/>
      </w:r>
      <w:r w:rsidRPr="00A85497">
        <w:rPr>
          <w:sz w:val="20"/>
          <w:szCs w:val="20"/>
        </w:rPr>
        <w:tab/>
      </w:r>
      <w:r w:rsidRPr="00A85497">
        <w:rPr>
          <w:sz w:val="20"/>
          <w:szCs w:val="20"/>
        </w:rPr>
        <w:tab/>
      </w:r>
      <w:r w:rsidRPr="00A85497">
        <w:rPr>
          <w:b/>
          <w:sz w:val="20"/>
          <w:szCs w:val="20"/>
        </w:rPr>
        <w:t>Three (3)</w:t>
      </w:r>
      <w:r w:rsidRPr="00A85497">
        <w:rPr>
          <w:sz w:val="20"/>
          <w:szCs w:val="20"/>
        </w:rPr>
        <w:t xml:space="preserve"> short blasts=Discontinue Play for darkness</w:t>
      </w:r>
    </w:p>
    <w:p w14:paraId="26647489" w14:textId="694C5CEA" w:rsidR="00F71B94" w:rsidRPr="00A85497" w:rsidRDefault="00F71B94">
      <w:pPr>
        <w:rPr>
          <w:bCs/>
          <w:sz w:val="20"/>
          <w:szCs w:val="20"/>
        </w:rPr>
      </w:pPr>
      <w:r w:rsidRPr="00A85497">
        <w:rPr>
          <w:bCs/>
          <w:sz w:val="20"/>
          <w:szCs w:val="20"/>
        </w:rPr>
        <w:t>In the event of severe weathe</w:t>
      </w:r>
      <w:r w:rsidR="00EF6266" w:rsidRPr="00A85497">
        <w:rPr>
          <w:bCs/>
          <w:sz w:val="20"/>
          <w:szCs w:val="20"/>
        </w:rPr>
        <w:t xml:space="preserve">r, go to the clubhouse.  </w:t>
      </w:r>
      <w:r w:rsidR="00613531" w:rsidRPr="00A85497">
        <w:rPr>
          <w:bCs/>
          <w:sz w:val="20"/>
          <w:szCs w:val="20"/>
        </w:rPr>
        <w:t xml:space="preserve">Or one of the shelters. </w:t>
      </w:r>
      <w:r w:rsidRPr="00A85497">
        <w:rPr>
          <w:bCs/>
          <w:sz w:val="20"/>
          <w:szCs w:val="20"/>
        </w:rPr>
        <w:t xml:space="preserve">If a player believes she is in danger from lightning, she may discontinue play </w:t>
      </w:r>
      <w:r w:rsidRPr="00A85497">
        <w:rPr>
          <w:b/>
          <w:bCs/>
          <w:i/>
          <w:sz w:val="20"/>
          <w:szCs w:val="20"/>
        </w:rPr>
        <w:t>without</w:t>
      </w:r>
      <w:r w:rsidRPr="00A85497">
        <w:rPr>
          <w:bCs/>
          <w:sz w:val="20"/>
          <w:szCs w:val="20"/>
        </w:rPr>
        <w:t xml:space="preserve"> permission from the Committe</w:t>
      </w:r>
      <w:r w:rsidR="00613531" w:rsidRPr="00A85497">
        <w:rPr>
          <w:bCs/>
          <w:sz w:val="20"/>
          <w:szCs w:val="20"/>
        </w:rPr>
        <w:t>e but must report to the Committee as soon as possible (Rule 5.7)</w:t>
      </w:r>
    </w:p>
    <w:sectPr w:rsidR="00F71B94" w:rsidRPr="00A8549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E65"/>
    <w:rsid w:val="00016844"/>
    <w:rsid w:val="000C77EA"/>
    <w:rsid w:val="000D3145"/>
    <w:rsid w:val="00147A08"/>
    <w:rsid w:val="001A5BB4"/>
    <w:rsid w:val="001A6E65"/>
    <w:rsid w:val="001C3A71"/>
    <w:rsid w:val="002C2656"/>
    <w:rsid w:val="00314B7A"/>
    <w:rsid w:val="00322FDB"/>
    <w:rsid w:val="003E3D5D"/>
    <w:rsid w:val="003F488B"/>
    <w:rsid w:val="0043398F"/>
    <w:rsid w:val="00584BA8"/>
    <w:rsid w:val="005D2F86"/>
    <w:rsid w:val="00613531"/>
    <w:rsid w:val="006453D5"/>
    <w:rsid w:val="006809BE"/>
    <w:rsid w:val="00687626"/>
    <w:rsid w:val="00723301"/>
    <w:rsid w:val="00774876"/>
    <w:rsid w:val="0078762E"/>
    <w:rsid w:val="007F6325"/>
    <w:rsid w:val="008B3F9F"/>
    <w:rsid w:val="008F375E"/>
    <w:rsid w:val="009115F2"/>
    <w:rsid w:val="009962C7"/>
    <w:rsid w:val="009C7FEE"/>
    <w:rsid w:val="00A81907"/>
    <w:rsid w:val="00A85497"/>
    <w:rsid w:val="00BC335E"/>
    <w:rsid w:val="00D07187"/>
    <w:rsid w:val="00D420FD"/>
    <w:rsid w:val="00EB2906"/>
    <w:rsid w:val="00EE50B3"/>
    <w:rsid w:val="00EF6266"/>
    <w:rsid w:val="00F71B94"/>
    <w:rsid w:val="00F75276"/>
    <w:rsid w:val="00FC6711"/>
    <w:rsid w:val="00FD7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4E88673"/>
  <w15:chartTrackingRefBased/>
  <w15:docId w15:val="{6C5F579D-70E6-490A-9D00-A11079F58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36"/>
    </w:rPr>
  </w:style>
  <w:style w:type="paragraph" w:styleId="BodyText">
    <w:name w:val="Body Text"/>
    <w:basedOn w:val="Normal"/>
    <w:rPr>
      <w:b/>
      <w:bCs/>
      <w:sz w:val="28"/>
    </w:rPr>
  </w:style>
  <w:style w:type="paragraph" w:styleId="BalloonText">
    <w:name w:val="Balloon Text"/>
    <w:basedOn w:val="Normal"/>
    <w:link w:val="BalloonTextChar"/>
    <w:rsid w:val="0043398F"/>
    <w:rPr>
      <w:rFonts w:ascii="Segoe UI" w:hAnsi="Segoe UI" w:cs="Segoe UI"/>
      <w:sz w:val="18"/>
      <w:szCs w:val="18"/>
    </w:rPr>
  </w:style>
  <w:style w:type="character" w:customStyle="1" w:styleId="BalloonTextChar">
    <w:name w:val="Balloon Text Char"/>
    <w:link w:val="BalloonText"/>
    <w:rsid w:val="004339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Notice to Competitors</vt:lpstr>
    </vt:vector>
  </TitlesOfParts>
  <Company>Harris-Homeyer Co.</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Competitors</dc:title>
  <dc:subject/>
  <dc:creator>billh</dc:creator>
  <cp:keywords/>
  <dc:description/>
  <cp:lastModifiedBy>Rachel Blauert</cp:lastModifiedBy>
  <cp:revision>2</cp:revision>
  <cp:lastPrinted>2022-06-09T17:53:00Z</cp:lastPrinted>
  <dcterms:created xsi:type="dcterms:W3CDTF">2022-07-06T18:37:00Z</dcterms:created>
  <dcterms:modified xsi:type="dcterms:W3CDTF">2022-07-06T18:37:00Z</dcterms:modified>
</cp:coreProperties>
</file>